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158B3">
      <w:pPr>
        <w:pStyle w:val="5"/>
        <w:spacing w:before="33"/>
        <w:ind w:left="480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7"/>
        </w:rPr>
        <w:t xml:space="preserve">附件 </w:t>
      </w:r>
      <w:r>
        <w:rPr>
          <w:rFonts w:asciiTheme="minorEastAsia" w:hAnsiTheme="minorEastAsia" w:eastAsiaTheme="minorEastAsia"/>
          <w:spacing w:val="-25"/>
          <w:w w:val="80"/>
        </w:rPr>
        <w:t>5</w:t>
      </w:r>
    </w:p>
    <w:p w14:paraId="31B4A937">
      <w:pPr>
        <w:spacing w:before="5"/>
        <w:rPr>
          <w:rFonts w:hint="eastAsia" w:asciiTheme="minorEastAsia" w:hAnsiTheme="minorEastAsia" w:eastAsiaTheme="minorEastAsia"/>
          <w:sz w:val="32"/>
        </w:rPr>
      </w:pPr>
      <w:r>
        <w:rPr>
          <w:rFonts w:asciiTheme="minorEastAsia" w:hAnsiTheme="minorEastAsia" w:eastAsiaTheme="minorEastAsia"/>
        </w:rPr>
        <w:br w:type="column"/>
      </w:r>
    </w:p>
    <w:p w14:paraId="7ACC62D1">
      <w:pPr>
        <w:pStyle w:val="2"/>
        <w:spacing w:line="307" w:lineRule="auto"/>
        <w:ind w:left="2808" w:right="1520" w:hanging="2729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第五届高等院校医学综合实验教学方案创意大赛</w:t>
      </w:r>
      <w:r>
        <w:rPr>
          <w:rFonts w:asciiTheme="minorEastAsia" w:hAnsiTheme="minorEastAsia" w:eastAsiaTheme="minorEastAsia"/>
          <w:spacing w:val="-4"/>
        </w:rPr>
        <w:t>比赛通知</w:t>
      </w:r>
    </w:p>
    <w:p w14:paraId="0DF7E2D7">
      <w:pPr>
        <w:spacing w:line="307" w:lineRule="auto"/>
        <w:rPr>
          <w:rFonts w:hint="eastAsia" w:asciiTheme="minorEastAsia" w:hAnsiTheme="minorEastAsia" w:eastAsiaTheme="minorEastAsia"/>
        </w:rPr>
        <w:sectPr>
          <w:pgSz w:w="11910" w:h="16840"/>
          <w:pgMar w:top="1380" w:right="1060" w:bottom="280" w:left="1320" w:header="720" w:footer="720" w:gutter="0"/>
          <w:cols w:equalWidth="0" w:num="2">
            <w:col w:w="1141" w:space="40"/>
            <w:col w:w="8349"/>
          </w:cols>
        </w:sectPr>
      </w:pPr>
    </w:p>
    <w:p w14:paraId="79C60FC5">
      <w:pPr>
        <w:pStyle w:val="5"/>
        <w:spacing w:before="273"/>
        <w:ind w:left="0"/>
        <w:rPr>
          <w:rFonts w:hint="eastAsia" w:asciiTheme="minorEastAsia" w:hAnsiTheme="minorEastAsia" w:eastAsiaTheme="minorEastAsia"/>
          <w:b/>
        </w:rPr>
      </w:pPr>
    </w:p>
    <w:p w14:paraId="3E57E536">
      <w:pPr>
        <w:pStyle w:val="5"/>
        <w:tabs>
          <w:tab w:val="left" w:pos="9240"/>
        </w:tabs>
        <w:spacing w:line="360" w:lineRule="auto"/>
        <w:ind w:left="480" w:right="288" w:rightChars="131" w:firstLine="480"/>
        <w:rPr>
          <w:rFonts w:hint="eastAsia" w:asciiTheme="minorEastAsia" w:hAnsiTheme="minorEastAsia" w:eastAsiaTheme="minorEastAsia"/>
          <w:spacing w:val="-1"/>
        </w:rPr>
      </w:pPr>
      <w:r>
        <w:rPr>
          <w:rFonts w:asciiTheme="minorEastAsia" w:hAnsiTheme="minorEastAsia" w:eastAsiaTheme="minorEastAsia"/>
          <w:spacing w:val="-1"/>
        </w:rPr>
        <w:t>医学实验教学是医学教育体系的核心环节，其创新不仅是技术手段的升级，更是教育理念、人才培养模式和学科发展的深刻变革。为落实 2025 年全国教育工作会议精神，深化医学教育改革，充分发挥实验教学在医学人才综合素质培养中的重要作用，促进科教融汇、产教融合，搭建优秀实验教学方案展示、交流和宣传的平台，现决定，于 2025 年 3 月-7 月期间，举办第五届高等院校医学综合实验教学方案创意大赛。现将比赛相关事宜通知如下：</w:t>
      </w:r>
    </w:p>
    <w:p w14:paraId="4D013124">
      <w:pPr>
        <w:pStyle w:val="4"/>
        <w:tabs>
          <w:tab w:val="left" w:pos="9240"/>
        </w:tabs>
        <w:spacing w:line="360" w:lineRule="auto"/>
        <w:ind w:left="960" w:right="288" w:rightChars="131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一、大赛组织</w:t>
      </w:r>
    </w:p>
    <w:p w14:paraId="41C71AD4">
      <w:pPr>
        <w:pStyle w:val="10"/>
        <w:numPr>
          <w:ilvl w:val="0"/>
          <w:numId w:val="1"/>
        </w:numPr>
        <w:tabs>
          <w:tab w:val="left" w:pos="1200"/>
          <w:tab w:val="left" w:pos="9240"/>
        </w:tabs>
        <w:spacing w:before="182" w:line="360" w:lineRule="auto"/>
        <w:ind w:right="288" w:rightChars="131" w:firstLine="480"/>
        <w:rPr>
          <w:rFonts w:hint="eastAsia" w:cs="Wawati SC" w:asciiTheme="minorEastAsia" w:hAnsiTheme="minorEastAsia" w:eastAsiaTheme="minorEastAsia"/>
          <w:spacing w:val="-1"/>
          <w:sz w:val="24"/>
          <w:szCs w:val="24"/>
          <w:lang w:val="en-US" w:eastAsia="zh-CN" w:bidi="ar-SA"/>
        </w:rPr>
      </w:pPr>
      <w:r>
        <w:rPr>
          <w:rFonts w:cs="Wawati SC" w:asciiTheme="minorEastAsia" w:hAnsiTheme="minorEastAsia" w:eastAsiaTheme="minorEastAsia"/>
          <w:spacing w:val="-1"/>
          <w:sz w:val="24"/>
          <w:szCs w:val="24"/>
          <w:lang w:val="en-US" w:eastAsia="zh-CN" w:bidi="ar-SA"/>
        </w:rPr>
        <w:t>本大赛由全国基础医学形态学实验室主任联席会主办，全国基础医学形态学实验室主任联席会形态学专业委员会承办，成都泰盟软件有限公司协办。</w:t>
      </w:r>
    </w:p>
    <w:p w14:paraId="0E5D0E4F">
      <w:pPr>
        <w:pStyle w:val="10"/>
        <w:numPr>
          <w:ilvl w:val="0"/>
          <w:numId w:val="1"/>
        </w:numPr>
        <w:tabs>
          <w:tab w:val="left" w:pos="1212"/>
          <w:tab w:val="left" w:pos="9240"/>
        </w:tabs>
        <w:spacing w:line="360" w:lineRule="auto"/>
        <w:ind w:right="288" w:rightChars="131" w:firstLine="480"/>
        <w:jc w:val="both"/>
        <w:rPr>
          <w:rFonts w:hint="eastAsia" w:cs="Wawati SC" w:asciiTheme="minorEastAsia" w:hAnsiTheme="minorEastAsia" w:eastAsiaTheme="minorEastAsia"/>
          <w:spacing w:val="-1"/>
          <w:sz w:val="24"/>
          <w:szCs w:val="24"/>
          <w:lang w:val="en-US" w:eastAsia="zh-CN" w:bidi="ar-SA"/>
        </w:rPr>
      </w:pPr>
      <w:r>
        <w:rPr>
          <w:rFonts w:cs="Wawati SC" w:asciiTheme="minorEastAsia" w:hAnsiTheme="minorEastAsia" w:eastAsiaTheme="minorEastAsia"/>
          <w:spacing w:val="-1"/>
          <w:sz w:val="24"/>
          <w:szCs w:val="24"/>
          <w:lang w:val="en-US" w:eastAsia="zh-CN" w:bidi="ar-SA"/>
        </w:rPr>
        <w:t>本大赛设“医学综合实验教学方案创意大赛专家委员会”（以下简称 “比赛专委会”），负责大赛的组织管理、规则制定、争议仲裁等工作。专委会设在形态学专业委员会。</w:t>
      </w:r>
    </w:p>
    <w:p w14:paraId="22FAB7A1">
      <w:pPr>
        <w:pStyle w:val="10"/>
        <w:numPr>
          <w:ilvl w:val="0"/>
          <w:numId w:val="1"/>
        </w:numPr>
        <w:tabs>
          <w:tab w:val="left" w:pos="1200"/>
          <w:tab w:val="left" w:pos="9240"/>
        </w:tabs>
        <w:spacing w:line="360" w:lineRule="auto"/>
        <w:ind w:right="288" w:rightChars="131" w:firstLine="480"/>
        <w:rPr>
          <w:rFonts w:hint="eastAsia" w:cs="Wawati SC" w:asciiTheme="minorEastAsia" w:hAnsiTheme="minorEastAsia" w:eastAsiaTheme="minorEastAsia"/>
          <w:spacing w:val="-1"/>
          <w:sz w:val="24"/>
          <w:szCs w:val="24"/>
          <w:lang w:val="en-US" w:eastAsia="zh-CN" w:bidi="ar-SA"/>
        </w:rPr>
      </w:pPr>
      <w:r>
        <w:rPr>
          <w:rFonts w:cs="Wawati SC" w:asciiTheme="minorEastAsia" w:hAnsiTheme="minorEastAsia" w:eastAsiaTheme="minorEastAsia"/>
          <w:spacing w:val="-1"/>
          <w:sz w:val="24"/>
          <w:szCs w:val="24"/>
          <w:lang w:val="en-US" w:eastAsia="zh-CN" w:bidi="ar-SA"/>
        </w:rPr>
        <w:t>本大赛获奖证书由全国基础医学形态学实验室主任联席会颁发，奖品由成都泰盟软件有限公司提供。</w:t>
      </w:r>
    </w:p>
    <w:p w14:paraId="0763678B">
      <w:pPr>
        <w:pStyle w:val="4"/>
        <w:tabs>
          <w:tab w:val="left" w:pos="9240"/>
        </w:tabs>
        <w:spacing w:line="360" w:lineRule="auto"/>
        <w:ind w:left="960" w:right="288" w:rightChars="131"/>
        <w:rPr>
          <w:rFonts w:hint="eastAsia" w:asciiTheme="minorEastAsia" w:hAnsiTheme="minorEastAsia" w:eastAsiaTheme="minorEastAsia"/>
          <w:spacing w:val="-2"/>
        </w:rPr>
      </w:pPr>
      <w:r>
        <w:rPr>
          <w:rFonts w:asciiTheme="minorEastAsia" w:hAnsiTheme="minorEastAsia" w:eastAsiaTheme="minorEastAsia"/>
          <w:spacing w:val="-2"/>
        </w:rPr>
        <w:t>二、大赛分组及参赛材料</w:t>
      </w:r>
    </w:p>
    <w:p w14:paraId="0B8800FD">
      <w:pPr>
        <w:pStyle w:val="10"/>
        <w:numPr>
          <w:ilvl w:val="0"/>
          <w:numId w:val="2"/>
        </w:numPr>
        <w:tabs>
          <w:tab w:val="left" w:pos="1200"/>
          <w:tab w:val="left" w:pos="9240"/>
        </w:tabs>
        <w:spacing w:before="180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pacing w:val="-8"/>
          <w:sz w:val="24"/>
        </w:rPr>
      </w:pPr>
      <w:r>
        <w:rPr>
          <w:rFonts w:asciiTheme="minorEastAsia" w:hAnsiTheme="minorEastAsia" w:eastAsiaTheme="minorEastAsia"/>
          <w:spacing w:val="-8"/>
          <w:sz w:val="24"/>
        </w:rPr>
        <w:t>根据参赛教学方案是否已用于教学实践，分为“综合实验教学方案创意设计组”（简称“设计组”）和“综合实验教学方案创意实践组”（简称 “实践组”），两组分别比赛并评奖。</w:t>
      </w:r>
    </w:p>
    <w:p w14:paraId="7B9A93F1">
      <w:pPr>
        <w:pStyle w:val="10"/>
        <w:numPr>
          <w:ilvl w:val="0"/>
          <w:numId w:val="2"/>
        </w:numPr>
        <w:tabs>
          <w:tab w:val="left" w:pos="1200"/>
          <w:tab w:val="left" w:pos="9240"/>
        </w:tabs>
        <w:spacing w:before="180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8"/>
          <w:sz w:val="24"/>
        </w:rPr>
        <w:t>参赛材料包括：申报简表（两组通用，附件 1）、申报书（两组不同，附件 2、附件 3）、创意讲解视频（拍摄要求见附件 4）、其他支撑材料（参赛团队视情况自行决定提供的种类和数量）及参赛信息汇总表（两组通用，附件 5）。</w:t>
      </w:r>
    </w:p>
    <w:p w14:paraId="742A80EE">
      <w:pPr>
        <w:pStyle w:val="4"/>
        <w:tabs>
          <w:tab w:val="left" w:pos="9240"/>
        </w:tabs>
        <w:spacing w:line="360" w:lineRule="auto"/>
        <w:ind w:left="960" w:right="288" w:rightChars="131"/>
        <w:rPr>
          <w:rFonts w:hint="eastAsia" w:asciiTheme="minorEastAsia" w:hAnsiTheme="minorEastAsia" w:eastAsiaTheme="minorEastAsia"/>
          <w:spacing w:val="-2"/>
        </w:rPr>
      </w:pPr>
      <w:r>
        <w:rPr>
          <w:rFonts w:asciiTheme="minorEastAsia" w:hAnsiTheme="minorEastAsia" w:eastAsiaTheme="minorEastAsia"/>
          <w:spacing w:val="-2"/>
        </w:rPr>
        <w:t>三、参赛方案要求</w:t>
      </w:r>
    </w:p>
    <w:p w14:paraId="1DA11862">
      <w:pPr>
        <w:pStyle w:val="10"/>
        <w:numPr>
          <w:ilvl w:val="0"/>
          <w:numId w:val="3"/>
        </w:numPr>
        <w:tabs>
          <w:tab w:val="left" w:pos="1200"/>
          <w:tab w:val="left" w:pos="9240"/>
        </w:tabs>
        <w:spacing w:before="181" w:line="360" w:lineRule="auto"/>
        <w:ind w:left="1200" w:right="288" w:rightChars="131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参赛方案的教学内容须符合人才培养规律，符合现代教育理念。</w:t>
      </w:r>
    </w:p>
    <w:p w14:paraId="48312D0F">
      <w:pPr>
        <w:pStyle w:val="10"/>
        <w:numPr>
          <w:ilvl w:val="0"/>
          <w:numId w:val="3"/>
        </w:numPr>
        <w:tabs>
          <w:tab w:val="left" w:pos="1200"/>
          <w:tab w:val="left" w:pos="9240"/>
        </w:tabs>
        <w:spacing w:before="166" w:line="360" w:lineRule="auto"/>
        <w:ind w:left="480" w:right="288" w:rightChars="131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4"/>
          <w:sz w:val="24"/>
        </w:rPr>
        <w:t>参赛方案可以是整个综合实验课程（或实验项目），也可以是系列实验课</w:t>
      </w:r>
      <w:r>
        <w:rPr>
          <w:rFonts w:asciiTheme="minorEastAsia" w:hAnsiTheme="minorEastAsia" w:eastAsiaTheme="minorEastAsia"/>
          <w:spacing w:val="-2"/>
          <w:sz w:val="24"/>
        </w:rPr>
        <w:t>程（或实验项目）的一部分，但必须有完整的教学设计。</w:t>
      </w:r>
    </w:p>
    <w:p w14:paraId="219A80E7">
      <w:pPr>
        <w:tabs>
          <w:tab w:val="left" w:pos="9240"/>
        </w:tabs>
        <w:spacing w:line="360" w:lineRule="auto"/>
        <w:ind w:right="288" w:rightChars="131"/>
        <w:rPr>
          <w:rFonts w:hint="eastAsia" w:asciiTheme="minorEastAsia" w:hAnsiTheme="minorEastAsia" w:eastAsiaTheme="minorEastAsia"/>
          <w:sz w:val="24"/>
        </w:rPr>
        <w:sectPr>
          <w:type w:val="continuous"/>
          <w:pgSz w:w="11910" w:h="16840"/>
          <w:pgMar w:top="1440" w:right="1060" w:bottom="280" w:left="1320" w:header="720" w:footer="720" w:gutter="0"/>
          <w:cols w:space="720" w:num="1"/>
        </w:sectPr>
      </w:pPr>
    </w:p>
    <w:p w14:paraId="3F4FD956">
      <w:pPr>
        <w:pStyle w:val="10"/>
        <w:numPr>
          <w:ilvl w:val="0"/>
          <w:numId w:val="3"/>
        </w:numPr>
        <w:tabs>
          <w:tab w:val="left" w:pos="1200"/>
          <w:tab w:val="left" w:pos="9240"/>
        </w:tabs>
        <w:spacing w:before="30" w:line="360" w:lineRule="auto"/>
        <w:ind w:left="480" w:right="288" w:rightChars="131" w:firstLine="48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方案所覆盖的内容必须包含形态学科的教学内容</w:t>
      </w:r>
      <w:r>
        <w:rPr>
          <w:rFonts w:asciiTheme="minorEastAsia" w:hAnsiTheme="minorEastAsia" w:eastAsiaTheme="minorEastAsia"/>
          <w:spacing w:val="-94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知识点或实验技能，</w:t>
      </w:r>
      <w:r>
        <w:rPr>
          <w:rFonts w:asciiTheme="minorEastAsia" w:hAnsiTheme="minorEastAsia" w:eastAsiaTheme="minorEastAsia"/>
          <w:spacing w:val="-2"/>
          <w:sz w:val="24"/>
        </w:rPr>
        <w:t>但不限于形态学各学科的教学内容、知识点或实验技能。形态学科与其他学科在 方案中的内容所占比例不限。</w:t>
      </w:r>
    </w:p>
    <w:p w14:paraId="755193A7">
      <w:pPr>
        <w:pStyle w:val="10"/>
        <w:numPr>
          <w:ilvl w:val="0"/>
          <w:numId w:val="3"/>
        </w:numPr>
        <w:tabs>
          <w:tab w:val="left" w:pos="1200"/>
          <w:tab w:val="left" w:pos="9240"/>
        </w:tabs>
        <w:spacing w:line="360" w:lineRule="auto"/>
        <w:ind w:left="480"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方案的教学内容可以是同一学科内跨章节的综合</w:t>
      </w:r>
      <w:r>
        <w:rPr>
          <w:rFonts w:asciiTheme="minorEastAsia" w:hAnsiTheme="minorEastAsia" w:eastAsiaTheme="minorEastAsia"/>
          <w:spacing w:val="-94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也可以是跨学科的</w:t>
      </w:r>
      <w:r>
        <w:rPr>
          <w:rFonts w:asciiTheme="minorEastAsia" w:hAnsiTheme="minorEastAsia" w:eastAsiaTheme="minorEastAsia"/>
          <w:spacing w:val="-4"/>
          <w:sz w:val="24"/>
        </w:rPr>
        <w:t>综合。鼓励两个或两个以上学科内容的综合，鼓励线上线下混合式教学，鼓励信</w:t>
      </w:r>
      <w:r>
        <w:rPr>
          <w:rFonts w:asciiTheme="minorEastAsia" w:hAnsiTheme="minorEastAsia" w:eastAsiaTheme="minorEastAsia"/>
          <w:spacing w:val="-2"/>
          <w:sz w:val="24"/>
        </w:rPr>
        <w:t>息化、数字化技术的应用。</w:t>
      </w:r>
    </w:p>
    <w:p w14:paraId="559A5E95">
      <w:pPr>
        <w:pStyle w:val="10"/>
        <w:numPr>
          <w:ilvl w:val="0"/>
          <w:numId w:val="3"/>
        </w:numPr>
        <w:tabs>
          <w:tab w:val="left" w:pos="1200"/>
          <w:tab w:val="left" w:pos="9240"/>
        </w:tabs>
        <w:spacing w:line="360" w:lineRule="auto"/>
        <w:ind w:left="1200" w:right="288" w:rightChars="131" w:hanging="24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10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方案需有一定的先进性、创新性、挑战度，有可推广的应用价值</w:t>
      </w:r>
      <w:r>
        <w:rPr>
          <w:rFonts w:asciiTheme="minorEastAsia" w:hAnsiTheme="minorEastAsia" w:eastAsiaTheme="minorEastAsia"/>
          <w:spacing w:val="-10"/>
          <w:sz w:val="24"/>
        </w:rPr>
        <w:t>。</w:t>
      </w:r>
    </w:p>
    <w:p w14:paraId="0019F169">
      <w:pPr>
        <w:pStyle w:val="10"/>
        <w:numPr>
          <w:ilvl w:val="0"/>
          <w:numId w:val="3"/>
        </w:numPr>
        <w:tabs>
          <w:tab w:val="left" w:pos="1200"/>
          <w:tab w:val="left" w:pos="9240"/>
        </w:tabs>
        <w:spacing w:before="164" w:line="360" w:lineRule="auto"/>
        <w:ind w:left="960" w:right="288" w:rightChars="131" w:firstLine="0"/>
        <w:jc w:val="both"/>
        <w:rPr>
          <w:rFonts w:hint="eastAsia"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方案所涉及的教学设计、教学资源应无知识产权纠纷、版权纠纷。</w:t>
      </w:r>
    </w:p>
    <w:p w14:paraId="1E2B7025">
      <w:pPr>
        <w:pStyle w:val="10"/>
        <w:numPr>
          <w:ilvl w:val="0"/>
          <w:numId w:val="0"/>
        </w:numPr>
        <w:tabs>
          <w:tab w:val="left" w:pos="1200"/>
          <w:tab w:val="left" w:pos="9240"/>
        </w:tabs>
        <w:spacing w:before="164" w:line="360" w:lineRule="auto"/>
        <w:ind w:left="960" w:leftChars="0" w:right="288" w:rightChars="131"/>
        <w:jc w:val="both"/>
        <w:rPr>
          <w:rFonts w:hint="eastAsia" w:asciiTheme="minorEastAsia" w:hAnsiTheme="minorEastAsia" w:eastAsiaTheme="minorEastAsia"/>
          <w:b/>
          <w:sz w:val="24"/>
        </w:rPr>
      </w:pPr>
      <w:r>
        <w:rPr>
          <w:rFonts w:hint="eastAsia" w:cs="STKaitiSC-Black" w:asciiTheme="minorEastAsia" w:hAnsiTheme="minorEastAsia" w:eastAsiaTheme="minorEastAsia"/>
          <w:b/>
          <w:bCs/>
          <w:spacing w:val="-2"/>
          <w:sz w:val="24"/>
          <w:szCs w:val="24"/>
          <w:lang w:val="en-US" w:eastAsia="zh-CN" w:bidi="ar-SA"/>
        </w:rPr>
        <w:t>四、参赛资格</w:t>
      </w:r>
    </w:p>
    <w:p w14:paraId="0379F225">
      <w:pPr>
        <w:pStyle w:val="10"/>
        <w:numPr>
          <w:ilvl w:val="0"/>
          <w:numId w:val="4"/>
        </w:numPr>
        <w:tabs>
          <w:tab w:val="left" w:pos="1200"/>
          <w:tab w:val="left" w:pos="9240"/>
        </w:tabs>
        <w:spacing w:before="29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人员为全国医学类院校从事教学及教学研究的教师</w:t>
      </w:r>
      <w:r>
        <w:rPr>
          <w:rFonts w:asciiTheme="minorEastAsia" w:hAnsiTheme="minorEastAsia" w:eastAsiaTheme="minorEastAsia"/>
          <w:spacing w:val="-108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医生</w:t>
      </w:r>
      <w:r>
        <w:rPr>
          <w:rFonts w:asciiTheme="minorEastAsia" w:hAnsiTheme="minorEastAsia" w:eastAsiaTheme="minorEastAsia"/>
          <w:spacing w:val="-106"/>
          <w:sz w:val="24"/>
        </w:rPr>
        <w:t>、</w:t>
      </w:r>
      <w:r>
        <w:rPr>
          <w:rFonts w:asciiTheme="minorEastAsia" w:hAnsiTheme="minorEastAsia" w:eastAsiaTheme="minorEastAsia"/>
          <w:sz w:val="24"/>
        </w:rPr>
        <w:t>技术员等。鼓励各校合作、联合申报</w:t>
      </w: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方案。</w:t>
      </w:r>
    </w:p>
    <w:p w14:paraId="784B197B">
      <w:pPr>
        <w:pStyle w:val="10"/>
        <w:numPr>
          <w:ilvl w:val="0"/>
          <w:numId w:val="4"/>
        </w:numPr>
        <w:tabs>
          <w:tab w:val="left" w:pos="1200"/>
          <w:tab w:val="left" w:pos="9240"/>
        </w:tabs>
        <w:spacing w:before="29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以团队形式</w:t>
      </w: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，每个团队不超过 6 人。</w:t>
      </w:r>
    </w:p>
    <w:p w14:paraId="741D6BAE">
      <w:pPr>
        <w:pStyle w:val="10"/>
        <w:numPr>
          <w:ilvl w:val="0"/>
          <w:numId w:val="4"/>
        </w:numPr>
        <w:tabs>
          <w:tab w:val="left" w:pos="1200"/>
          <w:tab w:val="left" w:pos="9240"/>
        </w:tabs>
        <w:spacing w:before="29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团队负责人同一年度只能主持 1 个</w:t>
      </w: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方案。</w:t>
      </w:r>
      <w:r>
        <w:rPr>
          <w:rFonts w:hint="eastAsia" w:asciiTheme="minorEastAsia" w:hAnsiTheme="minorEastAsia" w:eastAsiaTheme="minorEastAsia"/>
          <w:sz w:val="24"/>
        </w:rPr>
        <w:t>参赛</w:t>
      </w:r>
      <w:r>
        <w:rPr>
          <w:rFonts w:asciiTheme="minorEastAsia" w:hAnsiTheme="minorEastAsia" w:eastAsiaTheme="minorEastAsia"/>
          <w:sz w:val="24"/>
        </w:rPr>
        <w:t>人员同一年度参加比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赛</w:t>
      </w:r>
      <w:r>
        <w:rPr>
          <w:rFonts w:asciiTheme="minorEastAsia" w:hAnsiTheme="minorEastAsia" w:eastAsiaTheme="minorEastAsia"/>
          <w:sz w:val="24"/>
        </w:rPr>
        <w:t>方案不得超过 2 项。</w:t>
      </w:r>
    </w:p>
    <w:p w14:paraId="27B8F6E9">
      <w:pPr>
        <w:pStyle w:val="10"/>
        <w:numPr>
          <w:ilvl w:val="0"/>
          <w:numId w:val="4"/>
        </w:numPr>
        <w:tabs>
          <w:tab w:val="left" w:pos="1200"/>
          <w:tab w:val="left" w:pos="9240"/>
        </w:tabs>
        <w:spacing w:before="29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已获得前 4 届综合实验教学方案大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赛</w:t>
      </w:r>
      <w:r>
        <w:rPr>
          <w:rFonts w:asciiTheme="minorEastAsia" w:hAnsiTheme="minorEastAsia" w:eastAsiaTheme="minorEastAsia"/>
          <w:sz w:val="24"/>
        </w:rPr>
        <w:t>特等奖、一等奖的实验方案，不能更换负责人后再次参加同组别比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；在前 4 届综合实验教学方案大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中参加设计组比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的方案，若已用于教学实践，可参加实践组比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。</w:t>
      </w:r>
    </w:p>
    <w:p w14:paraId="7DE5167E">
      <w:pPr>
        <w:pStyle w:val="10"/>
        <w:numPr>
          <w:ilvl w:val="0"/>
          <w:numId w:val="4"/>
        </w:numPr>
        <w:tabs>
          <w:tab w:val="left" w:pos="1200"/>
          <w:tab w:val="left" w:pos="9240"/>
        </w:tabs>
        <w:spacing w:before="29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如参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方案产生侵权行为、涉及知识产权纠纷或发现造假，将取消该方案的参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资格。</w:t>
      </w:r>
    </w:p>
    <w:p w14:paraId="589CD569">
      <w:pPr>
        <w:pStyle w:val="4"/>
        <w:tabs>
          <w:tab w:val="left" w:pos="9240"/>
        </w:tabs>
        <w:spacing w:line="360" w:lineRule="auto"/>
        <w:ind w:left="960" w:right="288" w:rightChars="131"/>
        <w:jc w:val="both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五</w:t>
      </w:r>
      <w:r>
        <w:rPr>
          <w:rFonts w:asciiTheme="minorEastAsia" w:hAnsiTheme="minorEastAsia" w:eastAsiaTheme="minorEastAsia"/>
          <w:spacing w:val="12"/>
        </w:rPr>
        <w:t>、</w:t>
      </w:r>
      <w:r>
        <w:rPr>
          <w:rFonts w:hint="eastAsia" w:asciiTheme="minorEastAsia" w:hAnsiTheme="minorEastAsia" w:eastAsiaTheme="minorEastAsia"/>
          <w:spacing w:val="12"/>
          <w:position w:val="-1"/>
          <w:lang w:val="en-US" w:eastAsia="zh-CN"/>
        </w:rPr>
        <w:t>赛程</w:t>
      </w:r>
      <w:r>
        <w:rPr>
          <w:rFonts w:asciiTheme="minorEastAsia" w:hAnsiTheme="minorEastAsia" w:eastAsiaTheme="minorEastAsia"/>
        </w:rPr>
        <w:t>程设置及</w:t>
      </w:r>
      <w:r>
        <w:rPr>
          <w:rFonts w:hint="eastAsia" w:asciiTheme="minorEastAsia" w:hAnsiTheme="minorEastAsia" w:eastAsiaTheme="minorEastAsia"/>
          <w:lang w:val="en-US" w:eastAsia="zh-CN"/>
        </w:rPr>
        <w:t>参赛</w:t>
      </w:r>
      <w:r>
        <w:rPr>
          <w:rFonts w:asciiTheme="minorEastAsia" w:hAnsiTheme="minorEastAsia" w:eastAsiaTheme="minorEastAsia"/>
        </w:rPr>
        <w:t>方</w:t>
      </w:r>
      <w:r>
        <w:rPr>
          <w:rFonts w:asciiTheme="minorEastAsia" w:hAnsiTheme="minorEastAsia" w:eastAsiaTheme="minorEastAsia"/>
          <w:spacing w:val="-10"/>
        </w:rPr>
        <w:t>法</w:t>
      </w:r>
    </w:p>
    <w:p w14:paraId="13B3FDE1">
      <w:pPr>
        <w:pStyle w:val="10"/>
        <w:numPr>
          <w:ilvl w:val="0"/>
          <w:numId w:val="5"/>
        </w:numPr>
        <w:tabs>
          <w:tab w:val="left" w:pos="1210"/>
          <w:tab w:val="left" w:pos="9240"/>
        </w:tabs>
        <w:spacing w:before="180" w:line="360" w:lineRule="auto"/>
        <w:ind w:right="288" w:rightChars="131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赛程</w:t>
      </w:r>
      <w:r>
        <w:rPr>
          <w:rFonts w:asciiTheme="minorEastAsia" w:hAnsiTheme="minorEastAsia" w:eastAsiaTheme="minorEastAsia"/>
          <w:sz w:val="24"/>
        </w:rPr>
        <w:t>程分为网络评审、现场评审两个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段。</w:t>
      </w:r>
    </w:p>
    <w:p w14:paraId="7B1F6751">
      <w:pPr>
        <w:pStyle w:val="10"/>
        <w:numPr>
          <w:ilvl w:val="0"/>
          <w:numId w:val="5"/>
        </w:numPr>
        <w:tabs>
          <w:tab w:val="left" w:pos="1210"/>
          <w:tab w:val="left" w:pos="9240"/>
        </w:tabs>
        <w:spacing w:before="180" w:line="360" w:lineRule="auto"/>
        <w:ind w:right="288" w:rightChars="131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网络评审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赛</w:t>
      </w:r>
      <w:r>
        <w:rPr>
          <w:rFonts w:asciiTheme="minorEastAsia" w:hAnsiTheme="minorEastAsia" w:eastAsiaTheme="minorEastAsia"/>
          <w:sz w:val="24"/>
        </w:rPr>
        <w:t>段：2025 年 3 月-6 月。</w:t>
      </w:r>
    </w:p>
    <w:p w14:paraId="7ECB92AC">
      <w:pPr>
        <w:pStyle w:val="10"/>
        <w:numPr>
          <w:ilvl w:val="0"/>
          <w:numId w:val="6"/>
        </w:numPr>
        <w:tabs>
          <w:tab w:val="left" w:pos="1560"/>
          <w:tab w:val="left" w:pos="1679"/>
          <w:tab w:val="left" w:pos="9240"/>
        </w:tabs>
        <w:spacing w:line="360" w:lineRule="auto"/>
        <w:ind w:right="288" w:rightChars="131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参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39065" cy="139065"/>
            <wp:effectExtent l="0" t="0" r="0" b="0"/>
            <wp:docPr id="26" name="Imag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团队可登录大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网站（https://medinno.techmansoft.com/）查看比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信息及下载附件材料。为方便沟通信息、解答咨询、并通知决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信息，请参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39065" cy="139065"/>
            <wp:effectExtent l="0" t="0" r="0" b="0"/>
            <wp:docPr id="30" name="Imag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人员加入 QQ 群（群号：712209183）。</w:t>
      </w:r>
    </w:p>
    <w:p w14:paraId="62C6C140">
      <w:pPr>
        <w:pStyle w:val="10"/>
        <w:numPr>
          <w:ilvl w:val="0"/>
          <w:numId w:val="6"/>
        </w:numPr>
        <w:tabs>
          <w:tab w:val="left" w:pos="1560"/>
          <w:tab w:val="left" w:pos="1679"/>
          <w:tab w:val="left" w:pos="9240"/>
        </w:tabs>
        <w:spacing w:line="360" w:lineRule="auto"/>
        <w:ind w:right="288" w:rightChars="131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作品提交时间及方式：请参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团队于 4 月 30 日 23：59 前在比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网站注册、填写参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相关信息，并按照指引上传申报简表、申报书、讲解视频。参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信息汇总表命名为：参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组别（设计组/实践组）+学校+团队负责人+方案名称</w:t>
      </w:r>
      <w:r>
        <w:rPr>
          <w:rFonts w:hint="eastAsia" w:asciiTheme="minorEastAsia" w:hAnsiTheme="minorEastAsia" w:eastAsiaTheme="minorEastAsia"/>
          <w:sz w:val="24"/>
          <w:lang w:eastAsia="zh-CN"/>
        </w:rPr>
        <w:t>，</w:t>
      </w:r>
      <w:r>
        <w:rPr>
          <w:rFonts w:asciiTheme="minorEastAsia" w:hAnsiTheme="minorEastAsia" w:eastAsiaTheme="minorEastAsia"/>
          <w:sz w:val="24"/>
        </w:rPr>
        <w:t>发送至比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联系人邮箱（</w:t>
      </w:r>
      <w:r>
        <w:rPr>
          <w:rFonts w:asciiTheme="minorEastAsia" w:hAnsiTheme="minorEastAsia" w:eastAsiaTheme="minorEastAsia"/>
          <w:sz w:val="24"/>
        </w:rPr>
        <w:fldChar w:fldCharType="begin"/>
      </w:r>
      <w:r>
        <w:rPr>
          <w:rFonts w:asciiTheme="minorEastAsia" w:hAnsiTheme="minorEastAsia" w:eastAsiaTheme="minorEastAsia"/>
          <w:sz w:val="24"/>
        </w:rPr>
        <w:instrText xml:space="preserve"> HYPERLINK "mailto:1217163050@qq.com" \h </w:instrText>
      </w:r>
      <w:r>
        <w:rPr>
          <w:rFonts w:asciiTheme="minorEastAsia" w:hAnsiTheme="minorEastAsia" w:eastAsiaTheme="minorEastAsia"/>
          <w:sz w:val="24"/>
        </w:rPr>
        <w:fldChar w:fldCharType="separate"/>
      </w:r>
      <w:r>
        <w:rPr>
          <w:rFonts w:asciiTheme="minorEastAsia" w:hAnsiTheme="minorEastAsia" w:eastAsiaTheme="minorEastAsia"/>
          <w:sz w:val="24"/>
        </w:rPr>
        <w:t>1217163050@qq.com</w:t>
      </w:r>
      <w:r>
        <w:rPr>
          <w:rFonts w:asciiTheme="minorEastAsia" w:hAnsiTheme="minorEastAsia" w:eastAsiaTheme="minorEastAsia"/>
          <w:sz w:val="24"/>
        </w:rPr>
        <w:fldChar w:fldCharType="end"/>
      </w:r>
      <w:r>
        <w:rPr>
          <w:rFonts w:asciiTheme="minorEastAsia" w:hAnsiTheme="minorEastAsia" w:eastAsiaTheme="minorEastAsia"/>
          <w:sz w:val="24"/>
        </w:rPr>
        <w:t>）。</w:t>
      </w:r>
    </w:p>
    <w:p w14:paraId="7DF09C52">
      <w:pPr>
        <w:pStyle w:val="10"/>
        <w:numPr>
          <w:ilvl w:val="0"/>
          <w:numId w:val="7"/>
        </w:numPr>
        <w:tabs>
          <w:tab w:val="left" w:pos="1560"/>
          <w:tab w:val="left" w:pos="1679"/>
          <w:tab w:val="left" w:pos="9240"/>
        </w:tabs>
        <w:spacing w:line="360" w:lineRule="auto"/>
        <w:ind w:right="288" w:rightChars="131" w:firstLine="480"/>
        <w:rPr>
          <w:rFonts w:hint="eastAsia" w:asciiTheme="minorEastAsia" w:hAnsiTheme="minorEastAsia" w:eastAsiaTheme="minorEastAsia"/>
          <w:sz w:val="24"/>
        </w:rPr>
        <w:sectPr>
          <w:pgSz w:w="11910" w:h="16840"/>
          <w:pgMar w:top="1460" w:right="1060" w:bottom="280" w:left="1320" w:header="720" w:footer="720" w:gutter="0"/>
          <w:cols w:space="720" w:num="1"/>
        </w:sectPr>
      </w:pPr>
    </w:p>
    <w:p w14:paraId="12AA0175">
      <w:pPr>
        <w:pStyle w:val="10"/>
        <w:numPr>
          <w:ilvl w:val="0"/>
          <w:numId w:val="6"/>
        </w:numPr>
        <w:tabs>
          <w:tab w:val="left" w:pos="1560"/>
          <w:tab w:val="left" w:pos="1679"/>
          <w:tab w:val="left" w:pos="9240"/>
        </w:tabs>
        <w:spacing w:line="360" w:lineRule="auto"/>
        <w:ind w:right="288" w:rightChars="131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信息汇总表评审分组、获奖名单的依据，请认真阅读其中的填表说明并正确填写。若因汇总表与申报书内容不一致而导致的成绩不佳，由参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者自己负责。</w:t>
      </w:r>
    </w:p>
    <w:p w14:paraId="1F06AF29">
      <w:pPr>
        <w:pStyle w:val="10"/>
        <w:numPr>
          <w:ilvl w:val="0"/>
          <w:numId w:val="5"/>
        </w:numPr>
        <w:tabs>
          <w:tab w:val="left" w:pos="9240"/>
        </w:tabs>
        <w:spacing w:before="180" w:line="360" w:lineRule="auto"/>
        <w:ind w:left="450" w:leftChars="0" w:right="288" w:rightChars="131" w:firstLine="510" w:firstLineChars="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现场评审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段：2025 年 7 月 16 日-20 日，在山东淄博“全国基础医学形态学实验室主任联席会第十六次会议”期间举行。比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日程及现场要求将在 QQ群中通知。</w:t>
      </w:r>
    </w:p>
    <w:p w14:paraId="5E7A8093">
      <w:pPr>
        <w:pStyle w:val="4"/>
        <w:tabs>
          <w:tab w:val="left" w:pos="9240"/>
        </w:tabs>
        <w:spacing w:line="360" w:lineRule="auto"/>
        <w:ind w:left="960" w:right="288" w:rightChars="131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六、评奖过程</w:t>
      </w:r>
    </w:p>
    <w:p w14:paraId="1CA36896">
      <w:pPr>
        <w:pStyle w:val="10"/>
        <w:numPr>
          <w:ilvl w:val="0"/>
          <w:numId w:val="8"/>
        </w:numPr>
        <w:tabs>
          <w:tab w:val="left" w:pos="1200"/>
          <w:tab w:val="left" w:pos="9240"/>
        </w:tabs>
        <w:spacing w:before="181"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4"/>
          <w:sz w:val="24"/>
        </w:rPr>
        <w:t>比</w:t>
      </w:r>
      <w:r>
        <w:rPr>
          <w:rFonts w:hint="eastAsia" w:asciiTheme="minorEastAsia" w:hAnsiTheme="minorEastAsia" w:eastAsiaTheme="minorEastAsia"/>
          <w:spacing w:val="4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专委会根据当年</w:t>
      </w:r>
      <w:r>
        <w:rPr>
          <w:rFonts w:asciiTheme="minorEastAsia" w:hAnsiTheme="minorEastAsia" w:eastAsiaTheme="minorEastAsia"/>
          <w:spacing w:val="4"/>
          <w:sz w:val="24"/>
        </w:rPr>
        <w:t>参</w:t>
      </w:r>
      <w:r>
        <w:rPr>
          <w:rFonts w:hint="eastAsia" w:asciiTheme="minorEastAsia" w:hAnsiTheme="minorEastAsia" w:eastAsiaTheme="minorEastAsia"/>
          <w:spacing w:val="4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方案所涉及的学科门类确定评委人选</w:t>
      </w:r>
      <w:r>
        <w:rPr>
          <w:rFonts w:asciiTheme="minorEastAsia" w:hAnsiTheme="minorEastAsia" w:eastAsiaTheme="minorEastAsia"/>
          <w:spacing w:val="-94"/>
          <w:sz w:val="24"/>
        </w:rPr>
        <w:t>，</w:t>
      </w:r>
      <w:r>
        <w:rPr>
          <w:rFonts w:asciiTheme="minorEastAsia" w:hAnsiTheme="minorEastAsia" w:eastAsiaTheme="minorEastAsia"/>
          <w:sz w:val="24"/>
        </w:rPr>
        <w:t>并通知评</w:t>
      </w:r>
      <w:r>
        <w:rPr>
          <w:rFonts w:asciiTheme="minorEastAsia" w:hAnsiTheme="minorEastAsia" w:eastAsiaTheme="minorEastAsia"/>
          <w:spacing w:val="-2"/>
          <w:sz w:val="24"/>
        </w:rPr>
        <w:t>委本人。评委分为网络评审专家和现场评审专家。</w:t>
      </w:r>
    </w:p>
    <w:p w14:paraId="43F00C85">
      <w:pPr>
        <w:pStyle w:val="10"/>
        <w:numPr>
          <w:ilvl w:val="0"/>
          <w:numId w:val="8"/>
        </w:numPr>
        <w:tabs>
          <w:tab w:val="left" w:pos="1200"/>
          <w:tab w:val="left" w:pos="9240"/>
        </w:tabs>
        <w:spacing w:line="360" w:lineRule="auto"/>
        <w:ind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2"/>
          <w:sz w:val="24"/>
        </w:rPr>
        <w:t>网络评审</w:t>
      </w:r>
      <w:r>
        <w:rPr>
          <w:rFonts w:hint="eastAsia" w:asciiTheme="minorEastAsia" w:hAnsiTheme="minorEastAsia" w:eastAsiaTheme="minorEastAsia"/>
          <w:spacing w:val="-2"/>
          <w:sz w:val="24"/>
        </w:rPr>
        <w:t>赛</w:t>
      </w:r>
      <w:r>
        <w:rPr>
          <w:rFonts w:asciiTheme="minorEastAsia" w:hAnsiTheme="minorEastAsia" w:eastAsiaTheme="minorEastAsia"/>
          <w:spacing w:val="-2"/>
          <w:sz w:val="24"/>
        </w:rPr>
        <w:t>段：专家在比</w:t>
      </w:r>
      <w:r>
        <w:rPr>
          <w:rFonts w:hint="eastAsia" w:asciiTheme="minorEastAsia" w:hAnsiTheme="minorEastAsia" w:eastAsiaTheme="minorEastAsia"/>
          <w:spacing w:val="-2"/>
          <w:sz w:val="24"/>
        </w:rPr>
        <w:t>赛</w:t>
      </w:r>
      <w:r>
        <w:rPr>
          <w:rFonts w:asciiTheme="minorEastAsia" w:hAnsiTheme="minorEastAsia" w:eastAsiaTheme="minorEastAsia"/>
          <w:spacing w:val="-2"/>
          <w:sz w:val="24"/>
        </w:rPr>
        <w:t>网站上查看参</w:t>
      </w:r>
      <w:r>
        <w:rPr>
          <w:rFonts w:hint="eastAsia" w:asciiTheme="minorEastAsia" w:hAnsiTheme="minorEastAsia" w:eastAsiaTheme="minorEastAsia"/>
          <w:spacing w:val="-2"/>
          <w:sz w:val="24"/>
        </w:rPr>
        <w:t>赛</w:t>
      </w:r>
      <w:r>
        <w:rPr>
          <w:rFonts w:asciiTheme="minorEastAsia" w:hAnsiTheme="minorEastAsia" w:eastAsiaTheme="minorEastAsia"/>
          <w:spacing w:val="-2"/>
          <w:sz w:val="24"/>
        </w:rPr>
        <w:t>方案，参照比</w:t>
      </w:r>
      <w:r>
        <w:rPr>
          <w:rFonts w:hint="eastAsia" w:asciiTheme="minorEastAsia" w:hAnsiTheme="minorEastAsia" w:eastAsiaTheme="minorEastAsia"/>
          <w:spacing w:val="-2"/>
          <w:sz w:val="24"/>
        </w:rPr>
        <w:t>赛</w:t>
      </w:r>
      <w:r>
        <w:rPr>
          <w:rFonts w:asciiTheme="minorEastAsia" w:hAnsiTheme="minorEastAsia" w:eastAsiaTheme="minorEastAsia"/>
          <w:spacing w:val="-2"/>
          <w:sz w:val="24"/>
        </w:rPr>
        <w:t>专委会提供的</w:t>
      </w:r>
      <w:r>
        <w:rPr>
          <w:rFonts w:asciiTheme="minorEastAsia" w:hAnsiTheme="minorEastAsia" w:eastAsiaTheme="minorEastAsia"/>
          <w:spacing w:val="-4"/>
          <w:sz w:val="24"/>
        </w:rPr>
        <w:t>评分表自行打分，在规定时间内将分数交给比</w:t>
      </w:r>
      <w:r>
        <w:rPr>
          <w:rFonts w:hint="eastAsia" w:asciiTheme="minorEastAsia" w:hAnsiTheme="minorEastAsia" w:eastAsiaTheme="minorEastAsia"/>
          <w:spacing w:val="-4"/>
          <w:sz w:val="24"/>
        </w:rPr>
        <w:t>赛</w:t>
      </w:r>
      <w:r>
        <w:rPr>
          <w:rFonts w:asciiTheme="minorEastAsia" w:hAnsiTheme="minorEastAsia" w:eastAsiaTheme="minorEastAsia"/>
          <w:spacing w:val="-4"/>
          <w:sz w:val="24"/>
        </w:rPr>
        <w:t>专委会。专委会统计各位专家的分数后，按比例评选出三等奖和优秀奖若干，以及 10 项左右二等奖及以上的参</w:t>
      </w:r>
      <w:r>
        <w:rPr>
          <w:rFonts w:hint="eastAsia" w:asciiTheme="minorEastAsia" w:hAnsiTheme="minorEastAsia" w:eastAsiaTheme="minorEastAsia"/>
          <w:spacing w:val="-4"/>
          <w:sz w:val="24"/>
        </w:rPr>
        <w:t>赛</w:t>
      </w:r>
      <w:r>
        <w:rPr>
          <w:rFonts w:asciiTheme="minorEastAsia" w:hAnsiTheme="minorEastAsia" w:eastAsiaTheme="minorEastAsia"/>
          <w:spacing w:val="-4"/>
          <w:sz w:val="24"/>
        </w:rPr>
        <w:t>方案。</w:t>
      </w:r>
    </w:p>
    <w:p w14:paraId="6B1D35D6">
      <w:pPr>
        <w:pStyle w:val="10"/>
        <w:numPr>
          <w:ilvl w:val="0"/>
          <w:numId w:val="8"/>
        </w:numPr>
        <w:tabs>
          <w:tab w:val="left" w:pos="1200"/>
          <w:tab w:val="left" w:pos="9240"/>
        </w:tabs>
        <w:spacing w:line="360" w:lineRule="auto"/>
        <w:ind w:left="1200" w:right="288" w:rightChars="131" w:hanging="24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10"/>
          <w:sz w:val="24"/>
        </w:rPr>
        <w:t>比</w:t>
      </w:r>
      <w:r>
        <w:rPr>
          <w:rFonts w:hint="eastAsia" w:asciiTheme="minorEastAsia" w:hAnsiTheme="minorEastAsia" w:eastAsiaTheme="minorEastAsia"/>
          <w:spacing w:val="10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专委会负责通知二等奖及以上</w:t>
      </w:r>
      <w:r>
        <w:rPr>
          <w:rFonts w:asciiTheme="minorEastAsia" w:hAnsiTheme="minorEastAsia" w:eastAsiaTheme="minorEastAsia"/>
          <w:spacing w:val="10"/>
          <w:sz w:val="24"/>
        </w:rPr>
        <w:t>参</w:t>
      </w:r>
      <w:r>
        <w:rPr>
          <w:rFonts w:asciiTheme="minorEastAsia" w:hAnsiTheme="minorEastAsia" w:eastAsiaTheme="minorEastAsia"/>
          <w:spacing w:val="10"/>
          <w:position w:val="-2"/>
          <w:sz w:val="24"/>
        </w:rPr>
        <w:drawing>
          <wp:inline distT="0" distB="0" distL="0" distR="0">
            <wp:extent cx="139065" cy="139065"/>
            <wp:effectExtent l="0" t="0" r="0" b="0"/>
            <wp:docPr id="50" name="Imag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团队到现场参加汇报和答辩</w:t>
      </w:r>
      <w:r>
        <w:rPr>
          <w:rFonts w:asciiTheme="minorEastAsia" w:hAnsiTheme="minorEastAsia" w:eastAsiaTheme="minorEastAsia"/>
          <w:spacing w:val="-10"/>
          <w:sz w:val="24"/>
        </w:rPr>
        <w:t>。</w:t>
      </w:r>
    </w:p>
    <w:p w14:paraId="5AA745AE">
      <w:pPr>
        <w:pStyle w:val="10"/>
        <w:numPr>
          <w:ilvl w:val="0"/>
          <w:numId w:val="8"/>
        </w:numPr>
        <w:tabs>
          <w:tab w:val="left" w:pos="1200"/>
          <w:tab w:val="left" w:pos="9240"/>
        </w:tabs>
        <w:spacing w:before="165" w:line="360" w:lineRule="auto"/>
        <w:ind w:right="288" w:rightChars="131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现场评</w:t>
      </w:r>
      <w:r>
        <w:rPr>
          <w:rFonts w:asciiTheme="minorEastAsia" w:hAnsiTheme="minorEastAsia" w:eastAsiaTheme="minorEastAsia"/>
          <w:spacing w:val="4"/>
          <w:sz w:val="24"/>
        </w:rPr>
        <w:t>审</w:t>
      </w:r>
      <w:r>
        <w:rPr>
          <w:rFonts w:hint="eastAsia" w:asciiTheme="minorEastAsia" w:hAnsiTheme="minorEastAsia" w:eastAsiaTheme="minorEastAsia"/>
          <w:spacing w:val="4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段</w:t>
      </w:r>
      <w:r>
        <w:rPr>
          <w:rFonts w:asciiTheme="minorEastAsia" w:hAnsiTheme="minorEastAsia" w:eastAsiaTheme="minorEastAsia"/>
          <w:spacing w:val="-108"/>
          <w:sz w:val="24"/>
        </w:rPr>
        <w:t>：</w:t>
      </w:r>
      <w:r>
        <w:rPr>
          <w:rFonts w:asciiTheme="minorEastAsia" w:hAnsiTheme="minorEastAsia" w:eastAsiaTheme="minorEastAsia"/>
          <w:sz w:val="24"/>
        </w:rPr>
        <w:t>各</w:t>
      </w:r>
      <w:r>
        <w:rPr>
          <w:rFonts w:asciiTheme="minorEastAsia" w:hAnsiTheme="minorEastAsia" w:eastAsiaTheme="minorEastAsia"/>
          <w:spacing w:val="4"/>
          <w:sz w:val="24"/>
        </w:rPr>
        <w:t>参</w:t>
      </w:r>
      <w:r>
        <w:rPr>
          <w:rFonts w:hint="eastAsia" w:asciiTheme="minorEastAsia" w:hAnsiTheme="minorEastAsia" w:eastAsiaTheme="minorEastAsia"/>
          <w:spacing w:val="4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团队抽签决定汇报顺序</w:t>
      </w:r>
      <w:r>
        <w:rPr>
          <w:rFonts w:asciiTheme="minorEastAsia" w:hAnsiTheme="minorEastAsia" w:eastAsiaTheme="minorEastAsia"/>
          <w:spacing w:val="-106"/>
          <w:sz w:val="24"/>
        </w:rPr>
        <w:t>。</w:t>
      </w:r>
      <w:r>
        <w:rPr>
          <w:rFonts w:asciiTheme="minorEastAsia" w:hAnsiTheme="minorEastAsia" w:eastAsiaTheme="minorEastAsia"/>
          <w:sz w:val="24"/>
        </w:rPr>
        <w:t>评审专家聆听各团队汇报，并参照比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专委会提供的评分表自行打分。专委会统计各位专家的分数后，按比</w:t>
      </w:r>
      <w:r>
        <w:rPr>
          <w:rFonts w:asciiTheme="minorEastAsia" w:hAnsiTheme="minorEastAsia" w:eastAsiaTheme="minorEastAsia"/>
          <w:spacing w:val="-2"/>
          <w:sz w:val="24"/>
        </w:rPr>
        <w:t>例评选出一等奖和二等奖。</w:t>
      </w:r>
    </w:p>
    <w:p w14:paraId="5E2916A0">
      <w:pPr>
        <w:pStyle w:val="10"/>
        <w:numPr>
          <w:ilvl w:val="0"/>
          <w:numId w:val="8"/>
        </w:numPr>
        <w:tabs>
          <w:tab w:val="left" w:pos="1200"/>
          <w:tab w:val="left" w:pos="9240"/>
        </w:tabs>
        <w:spacing w:line="360" w:lineRule="auto"/>
        <w:ind w:right="288" w:rightChars="131" w:firstLine="48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4"/>
          <w:sz w:val="24"/>
        </w:rPr>
        <w:t>综合网络评审专家意见和现场评审专家意见，两者均打分最高者，可获得</w:t>
      </w:r>
      <w:r>
        <w:rPr>
          <w:rFonts w:asciiTheme="minorEastAsia" w:hAnsiTheme="minorEastAsia" w:eastAsiaTheme="minorEastAsia"/>
          <w:spacing w:val="-2"/>
          <w:sz w:val="24"/>
        </w:rPr>
        <w:t>特等奖。否则，该年度特等奖缺如。</w:t>
      </w:r>
    </w:p>
    <w:p w14:paraId="6955DFF9">
      <w:pPr>
        <w:pStyle w:val="4"/>
        <w:tabs>
          <w:tab w:val="left" w:pos="9240"/>
        </w:tabs>
        <w:spacing w:line="360" w:lineRule="auto"/>
        <w:ind w:left="960" w:right="288" w:rightChars="131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七、其他事项</w:t>
      </w:r>
    </w:p>
    <w:p w14:paraId="1E7E4A39">
      <w:pPr>
        <w:pStyle w:val="10"/>
        <w:numPr>
          <w:ilvl w:val="0"/>
          <w:numId w:val="9"/>
        </w:numPr>
        <w:tabs>
          <w:tab w:val="left" w:pos="1200"/>
          <w:tab w:val="left" w:pos="9240"/>
        </w:tabs>
        <w:spacing w:before="181" w:line="360" w:lineRule="auto"/>
        <w:ind w:left="1200" w:right="288" w:rightChars="131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现场</w:t>
      </w:r>
      <w:r>
        <w:rPr>
          <w:rFonts w:asciiTheme="minorEastAsia" w:hAnsiTheme="minorEastAsia" w:eastAsiaTheme="minorEastAsia"/>
          <w:spacing w:val="10"/>
          <w:sz w:val="24"/>
        </w:rPr>
        <w:t>比</w:t>
      </w:r>
      <w:r>
        <w:rPr>
          <w:rFonts w:hint="eastAsia" w:asciiTheme="minorEastAsia" w:hAnsiTheme="minorEastAsia" w:eastAsiaTheme="minorEastAsia"/>
          <w:spacing w:val="10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结束时举行颁奖仪式，所有获奖团队均须到场领奖</w:t>
      </w:r>
      <w:r>
        <w:rPr>
          <w:rFonts w:asciiTheme="minorEastAsia" w:hAnsiTheme="minorEastAsia" w:eastAsiaTheme="minorEastAsia"/>
          <w:spacing w:val="-10"/>
          <w:sz w:val="24"/>
        </w:rPr>
        <w:t>。</w:t>
      </w:r>
    </w:p>
    <w:p w14:paraId="6DF21C5C">
      <w:pPr>
        <w:pStyle w:val="10"/>
        <w:numPr>
          <w:ilvl w:val="0"/>
          <w:numId w:val="9"/>
        </w:numPr>
        <w:tabs>
          <w:tab w:val="left" w:pos="1200"/>
          <w:tab w:val="left" w:pos="9240"/>
        </w:tabs>
        <w:spacing w:before="166" w:line="360" w:lineRule="auto"/>
        <w:ind w:left="1200" w:right="288" w:rightChars="131" w:hanging="240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pacing w:val="-1"/>
          <w:sz w:val="24"/>
        </w:rPr>
        <w:t>不参加现场评审或不到场领奖的团队将视为放弃奖项。</w:t>
      </w:r>
    </w:p>
    <w:p w14:paraId="7C36E357">
      <w:pPr>
        <w:pStyle w:val="10"/>
        <w:numPr>
          <w:ilvl w:val="0"/>
          <w:numId w:val="9"/>
        </w:numPr>
        <w:tabs>
          <w:tab w:val="left" w:pos="1200"/>
          <w:tab w:val="left" w:pos="9240"/>
        </w:tabs>
        <w:spacing w:before="165" w:line="360" w:lineRule="auto"/>
        <w:ind w:left="480" w:right="288" w:rightChars="131" w:firstLine="480"/>
        <w:jc w:val="both"/>
        <w:rPr>
          <w:rFonts w:hint="eastAsia"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为做好</w:t>
      </w:r>
      <w:r>
        <w:rPr>
          <w:rFonts w:asciiTheme="minorEastAsia" w:hAnsiTheme="minorEastAsia" w:eastAsiaTheme="minorEastAsia"/>
          <w:spacing w:val="10"/>
          <w:sz w:val="24"/>
        </w:rPr>
        <w:t>各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段评审工作，营造公平公正的比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环境，比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专委会面向设有医学类、药学类、医技类专业的院校、教学医院征集评审专家。具体要求及专家信息表请在比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网站首页“</w:t>
      </w:r>
      <w:r>
        <w:rPr>
          <w:rFonts w:hint="eastAsia" w:asciiTheme="minorEastAsia" w:hAnsiTheme="minorEastAsia" w:eastAsiaTheme="minorEastAsia"/>
          <w:sz w:val="24"/>
        </w:rPr>
        <w:t>赛</w:t>
      </w:r>
      <w:r>
        <w:rPr>
          <w:rFonts w:asciiTheme="minorEastAsia" w:hAnsiTheme="minorEastAsia" w:eastAsiaTheme="minorEastAsia"/>
          <w:sz w:val="24"/>
        </w:rPr>
        <w:t>事通知”栏下载“高等院校医学综合实验教学方案创意大</w:t>
      </w:r>
      <w:r>
        <w:rPr>
          <w:rFonts w:asciiTheme="minorEastAsia" w:hAnsiTheme="minorEastAsia" w:eastAsiaTheme="minorEastAsia"/>
          <w:sz w:val="24"/>
        </w:rPr>
        <w:drawing>
          <wp:inline distT="0" distB="0" distL="0" distR="0">
            <wp:extent cx="139065" cy="139065"/>
            <wp:effectExtent l="0" t="0" r="0" b="0"/>
            <wp:docPr id="60" name="Image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</w:rPr>
        <w:t>评审专家信息表（长期有效）”，单位盖章后发到指定邮箱。</w:t>
      </w:r>
    </w:p>
    <w:p w14:paraId="60BC6C6D">
      <w:pPr>
        <w:pStyle w:val="4"/>
        <w:tabs>
          <w:tab w:val="left" w:pos="9240"/>
        </w:tabs>
        <w:spacing w:line="360" w:lineRule="auto"/>
        <w:ind w:left="960" w:right="288" w:rightChars="131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1"/>
        </w:rPr>
        <w:t>八、联系人和联系方式</w:t>
      </w:r>
    </w:p>
    <w:p w14:paraId="494E90B3">
      <w:pPr>
        <w:pStyle w:val="5"/>
        <w:tabs>
          <w:tab w:val="left" w:pos="4079"/>
          <w:tab w:val="left" w:pos="9240"/>
        </w:tabs>
        <w:spacing w:before="183" w:line="360" w:lineRule="auto"/>
        <w:ind w:left="960" w:right="288" w:rightChars="131"/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</w:pP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姚晓玲 手机 18126231321</w:t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ab/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邮箱：</w:t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fldChar w:fldCharType="begin"/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instrText xml:space="preserve"> HYPERLINK "mailto:1217163050@qq.com" \h </w:instrText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fldChar w:fldCharType="separate"/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1217163050@qq.com</w:t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fldChar w:fldCharType="end"/>
      </w:r>
    </w:p>
    <w:p w14:paraId="6F91E002">
      <w:pPr>
        <w:pStyle w:val="5"/>
        <w:tabs>
          <w:tab w:val="left" w:pos="0"/>
          <w:tab w:val="left" w:pos="9240"/>
          <w:tab w:val="left" w:pos="9460"/>
        </w:tabs>
        <w:spacing w:before="183" w:line="360" w:lineRule="auto"/>
        <w:ind w:left="960" w:right="288" w:rightChars="131"/>
        <w:rPr>
          <w:rFonts w:hint="eastAsia" w:cs="Wawati SC" w:asciiTheme="minorEastAsia" w:hAnsiTheme="minorEastAsia" w:eastAsiaTheme="minorEastAsia"/>
          <w:sz w:val="24"/>
          <w:szCs w:val="22"/>
          <w:lang w:val="en-US" w:eastAsia="zh-CN" w:bidi="ar-SA"/>
        </w:rPr>
        <w:sectPr>
          <w:pgSz w:w="11910" w:h="16840"/>
          <w:pgMar w:top="1460" w:right="1060" w:bottom="280" w:left="1320" w:header="720" w:footer="720" w:gutter="0"/>
          <w:cols w:space="720" w:num="1"/>
        </w:sectPr>
      </w:pP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李蕾蕾 手机 13926461306</w:t>
      </w:r>
    </w:p>
    <w:p w14:paraId="454939FD">
      <w:pPr>
        <w:pStyle w:val="5"/>
        <w:tabs>
          <w:tab w:val="left" w:pos="9240"/>
        </w:tabs>
        <w:spacing w:before="30" w:line="360" w:lineRule="auto"/>
        <w:ind w:left="0" w:leftChars="0" w:right="288" w:rightChars="131" w:firstLine="878" w:firstLineChars="366"/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</w:pP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苏宁 手机 18933902508</w:t>
      </w:r>
    </w:p>
    <w:p w14:paraId="61273DCE">
      <w:pPr>
        <w:pStyle w:val="5"/>
        <w:tabs>
          <w:tab w:val="left" w:pos="9240"/>
        </w:tabs>
        <w:spacing w:before="30" w:line="360" w:lineRule="auto"/>
        <w:ind w:left="0" w:leftChars="0" w:right="288" w:rightChars="131" w:firstLine="878" w:firstLineChars="366"/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</w:pP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刘莉（成都泰盟公司技术支持） 手机 15281099673</w:t>
      </w:r>
    </w:p>
    <w:p w14:paraId="1025D955">
      <w:pPr>
        <w:pStyle w:val="5"/>
        <w:tabs>
          <w:tab w:val="left" w:pos="9240"/>
        </w:tabs>
        <w:spacing w:before="30" w:line="360" w:lineRule="auto"/>
        <w:ind w:left="0" w:leftChars="0" w:right="288" w:rightChars="131" w:firstLine="878" w:firstLineChars="366"/>
        <w:rPr>
          <w:rFonts w:hint="eastAsia" w:cs="Wawati SC" w:asciiTheme="minorEastAsia" w:hAnsiTheme="minorEastAsia" w:eastAsiaTheme="minorEastAsia"/>
          <w:sz w:val="24"/>
          <w:szCs w:val="22"/>
          <w:lang w:val="en-US" w:eastAsia="zh-CN" w:bidi="ar-SA"/>
        </w:rPr>
      </w:pP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比</w:t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drawing>
          <wp:inline distT="0" distB="0" distL="0" distR="0">
            <wp:extent cx="139065" cy="139065"/>
            <wp:effectExtent l="0" t="0" r="0" b="0"/>
            <wp:docPr id="61" name="Image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 xml:space="preserve"> QQ 群：712209183（第五届医学综合实验教学方案创意大</w:t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drawing>
          <wp:inline distT="0" distB="0" distL="0" distR="0">
            <wp:extent cx="139065" cy="139065"/>
            <wp:effectExtent l="0" t="0" r="0" b="0"/>
            <wp:docPr id="62" name="Image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Wawati SC" w:asciiTheme="minorEastAsia" w:hAnsiTheme="minorEastAsia" w:eastAsiaTheme="minorEastAsia"/>
          <w:sz w:val="24"/>
          <w:szCs w:val="22"/>
          <w:lang w:val="en-US" w:eastAsia="zh-CN" w:bidi="ar-SA"/>
        </w:rPr>
        <w:t>）</w:t>
      </w:r>
    </w:p>
    <w:p w14:paraId="170F4F3F">
      <w:pPr>
        <w:pStyle w:val="5"/>
        <w:tabs>
          <w:tab w:val="left" w:pos="9240"/>
        </w:tabs>
        <w:spacing w:before="103" w:line="360" w:lineRule="auto"/>
        <w:ind w:left="0" w:right="288" w:rightChars="131"/>
        <w:rPr>
          <w:rFonts w:hint="eastAsia" w:cs="Wawati SC" w:asciiTheme="minorEastAsia" w:hAnsiTheme="minorEastAsia" w:eastAsiaTheme="minorEastAsia"/>
          <w:sz w:val="24"/>
          <w:szCs w:val="22"/>
          <w:lang w:val="en-US" w:eastAsia="zh-CN" w:bidi="ar-SA"/>
        </w:rPr>
      </w:pPr>
    </w:p>
    <w:p w14:paraId="3497C3B1">
      <w:pPr>
        <w:pStyle w:val="5"/>
        <w:tabs>
          <w:tab w:val="left" w:pos="9240"/>
        </w:tabs>
        <w:spacing w:line="360" w:lineRule="auto"/>
        <w:ind w:left="75" w:leftChars="34" w:right="288" w:rightChars="131" w:firstLine="802" w:firstLineChars="340"/>
        <w:rPr>
          <w:rFonts w:asciiTheme="minorEastAsia" w:hAnsiTheme="minorEastAsia" w:eastAsiaTheme="minorEastAsia"/>
          <w:spacing w:val="-10"/>
        </w:rPr>
      </w:pPr>
      <w:r>
        <w:rPr>
          <w:rFonts w:asciiTheme="minorEastAsia" w:hAnsiTheme="minorEastAsia" w:eastAsiaTheme="minorEastAsia"/>
          <w:spacing w:val="-2"/>
        </w:rPr>
        <w:t>附件</w:t>
      </w:r>
      <w:r>
        <w:rPr>
          <w:rFonts w:asciiTheme="minorEastAsia" w:hAnsiTheme="minorEastAsia" w:eastAsiaTheme="minorEastAsia"/>
          <w:spacing w:val="-11"/>
        </w:rPr>
        <w:t xml:space="preserve"> </w:t>
      </w:r>
      <w:r>
        <w:rPr>
          <w:rFonts w:asciiTheme="minorEastAsia" w:hAnsiTheme="minorEastAsia" w:eastAsiaTheme="minorEastAsia"/>
          <w:spacing w:val="-2"/>
        </w:rPr>
        <w:t>1：高等院校医学综合实验教学方案创意大</w:t>
      </w:r>
      <w:r>
        <w:rPr>
          <w:rFonts w:asciiTheme="minorEastAsia" w:hAnsiTheme="minorEastAsia" w:eastAsiaTheme="minorEastAsia"/>
          <w:spacing w:val="10"/>
          <w:position w:val="-1"/>
        </w:rPr>
        <w:drawing>
          <wp:inline distT="0" distB="0" distL="0" distR="0">
            <wp:extent cx="139065" cy="139065"/>
            <wp:effectExtent l="0" t="0" r="0" b="0"/>
            <wp:docPr id="63" name="Imag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pacing w:val="-2"/>
        </w:rPr>
        <w:t>申报简</w:t>
      </w:r>
      <w:r>
        <w:rPr>
          <w:rFonts w:asciiTheme="minorEastAsia" w:hAnsiTheme="minorEastAsia" w:eastAsiaTheme="minorEastAsia"/>
          <w:spacing w:val="-10"/>
        </w:rPr>
        <w:t>表</w:t>
      </w:r>
    </w:p>
    <w:p w14:paraId="2A0A0023">
      <w:pPr>
        <w:pStyle w:val="5"/>
        <w:tabs>
          <w:tab w:val="left" w:pos="9240"/>
        </w:tabs>
        <w:spacing w:line="360" w:lineRule="auto"/>
        <w:ind w:left="75" w:leftChars="34" w:right="288" w:rightChars="131" w:firstLine="802" w:firstLineChars="340"/>
        <w:rPr>
          <w:rFonts w:asciiTheme="minorEastAsia" w:hAnsiTheme="minorEastAsia" w:eastAsiaTheme="minorEastAsia"/>
          <w:spacing w:val="-2"/>
        </w:rPr>
      </w:pPr>
      <w:r>
        <w:rPr>
          <w:rFonts w:asciiTheme="minorEastAsia" w:hAnsiTheme="minorEastAsia" w:eastAsiaTheme="minorEastAsia"/>
          <w:spacing w:val="-2"/>
        </w:rPr>
        <w:t>附件</w:t>
      </w:r>
      <w:r>
        <w:rPr>
          <w:rFonts w:asciiTheme="minorEastAsia" w:hAnsiTheme="minorEastAsia" w:eastAsiaTheme="minorEastAsia"/>
          <w:spacing w:val="-20"/>
        </w:rPr>
        <w:t xml:space="preserve"> </w:t>
      </w:r>
      <w:r>
        <w:rPr>
          <w:rFonts w:asciiTheme="minorEastAsia" w:hAnsiTheme="minorEastAsia" w:eastAsiaTheme="minorEastAsia"/>
          <w:spacing w:val="-2"/>
        </w:rPr>
        <w:t>2：高等院校医学综合实验教学方案创意大</w:t>
      </w:r>
      <w:r>
        <w:rPr>
          <w:rFonts w:asciiTheme="minorEastAsia" w:hAnsiTheme="minorEastAsia" w:eastAsiaTheme="minorEastAsia"/>
          <w:spacing w:val="10"/>
          <w:position w:val="-2"/>
        </w:rPr>
        <w:drawing>
          <wp:inline distT="0" distB="0" distL="0" distR="0">
            <wp:extent cx="139065" cy="139065"/>
            <wp:effectExtent l="0" t="0" r="0" b="0"/>
            <wp:docPr id="64" name="Image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pacing w:val="-2"/>
        </w:rPr>
        <w:t>申报书（设计组）</w:t>
      </w:r>
    </w:p>
    <w:p w14:paraId="1939C9E5">
      <w:pPr>
        <w:pStyle w:val="5"/>
        <w:tabs>
          <w:tab w:val="left" w:pos="9240"/>
        </w:tabs>
        <w:spacing w:line="360" w:lineRule="auto"/>
        <w:ind w:left="75" w:leftChars="34" w:right="288" w:rightChars="131" w:firstLine="802" w:firstLineChars="340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-2"/>
        </w:rPr>
        <w:t>附件</w:t>
      </w:r>
      <w:r>
        <w:rPr>
          <w:rFonts w:asciiTheme="minorEastAsia" w:hAnsiTheme="minorEastAsia" w:eastAsiaTheme="minorEastAsia"/>
          <w:spacing w:val="-3"/>
        </w:rPr>
        <w:t xml:space="preserve"> </w:t>
      </w:r>
      <w:r>
        <w:rPr>
          <w:rFonts w:asciiTheme="minorEastAsia" w:hAnsiTheme="minorEastAsia" w:eastAsiaTheme="minorEastAsia"/>
          <w:spacing w:val="-2"/>
        </w:rPr>
        <w:t>3：高等院校医学综合实验教学方案创意大</w:t>
      </w:r>
      <w:r>
        <w:rPr>
          <w:rFonts w:asciiTheme="minorEastAsia" w:hAnsiTheme="minorEastAsia" w:eastAsiaTheme="minorEastAsia"/>
          <w:spacing w:val="10"/>
          <w:position w:val="-1"/>
        </w:rPr>
        <w:drawing>
          <wp:inline distT="0" distB="0" distL="0" distR="0">
            <wp:extent cx="139065" cy="139065"/>
            <wp:effectExtent l="0" t="0" r="0" b="0"/>
            <wp:docPr id="65" name="Image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pacing w:val="-2"/>
        </w:rPr>
        <w:t>申报书（实践组</w:t>
      </w:r>
      <w:r>
        <w:rPr>
          <w:rFonts w:asciiTheme="minorEastAsia" w:hAnsiTheme="minorEastAsia" w:eastAsiaTheme="minorEastAsia"/>
          <w:spacing w:val="-10"/>
        </w:rPr>
        <w:t>）</w:t>
      </w:r>
    </w:p>
    <w:p w14:paraId="29BBE1B1">
      <w:pPr>
        <w:pStyle w:val="5"/>
        <w:tabs>
          <w:tab w:val="left" w:pos="9240"/>
        </w:tabs>
        <w:spacing w:line="360" w:lineRule="auto"/>
        <w:ind w:left="75" w:leftChars="34" w:right="288" w:rightChars="131" w:firstLine="802" w:firstLineChars="340"/>
        <w:rPr>
          <w:rFonts w:asciiTheme="minorEastAsia" w:hAnsiTheme="minorEastAsia" w:eastAsiaTheme="minorEastAsia"/>
          <w:spacing w:val="-2"/>
        </w:rPr>
      </w:pPr>
      <w:r>
        <w:rPr>
          <w:rFonts w:asciiTheme="minorEastAsia" w:hAnsiTheme="minorEastAsia" w:eastAsiaTheme="minorEastAsia"/>
          <w:spacing w:val="-2"/>
        </w:rPr>
        <w:t>附件</w:t>
      </w:r>
      <w:r>
        <w:rPr>
          <w:rFonts w:asciiTheme="minorEastAsia" w:hAnsiTheme="minorEastAsia" w:eastAsiaTheme="minorEastAsia"/>
          <w:spacing w:val="-20"/>
        </w:rPr>
        <w:t xml:space="preserve"> </w:t>
      </w:r>
      <w:r>
        <w:rPr>
          <w:rFonts w:asciiTheme="minorEastAsia" w:hAnsiTheme="minorEastAsia" w:eastAsiaTheme="minorEastAsia"/>
          <w:spacing w:val="-2"/>
        </w:rPr>
        <w:t>4：高等院校医学综合实验教学方案创意大</w:t>
      </w:r>
      <w:r>
        <w:rPr>
          <w:rFonts w:asciiTheme="minorEastAsia" w:hAnsiTheme="minorEastAsia" w:eastAsiaTheme="minorEastAsia"/>
          <w:spacing w:val="10"/>
          <w:position w:val="-2"/>
        </w:rPr>
        <w:drawing>
          <wp:inline distT="0" distB="0" distL="0" distR="0">
            <wp:extent cx="139065" cy="139065"/>
            <wp:effectExtent l="0" t="0" r="0" b="0"/>
            <wp:docPr id="66" name="Image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pacing w:val="-2"/>
        </w:rPr>
        <w:t>创意讲解视频拍摄要求</w:t>
      </w:r>
    </w:p>
    <w:p w14:paraId="59030924">
      <w:pPr>
        <w:pStyle w:val="5"/>
        <w:tabs>
          <w:tab w:val="left" w:pos="9240"/>
        </w:tabs>
        <w:spacing w:line="360" w:lineRule="auto"/>
        <w:ind w:left="75" w:leftChars="34" w:right="288" w:rightChars="131" w:firstLine="816" w:firstLineChars="340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附件</w:t>
      </w:r>
      <w:r>
        <w:rPr>
          <w:rFonts w:asciiTheme="minorEastAsia" w:hAnsiTheme="minorEastAsia" w:eastAsiaTheme="minorEastAsia"/>
          <w:spacing w:val="-1"/>
        </w:rPr>
        <w:t xml:space="preserve"> </w:t>
      </w:r>
      <w:r>
        <w:rPr>
          <w:rFonts w:asciiTheme="minorEastAsia" w:hAnsiTheme="minorEastAsia" w:eastAsiaTheme="minorEastAsia"/>
        </w:rPr>
        <w:t>5：高等院校医学综合实验教学方案创意</w:t>
      </w:r>
      <w:r>
        <w:rPr>
          <w:rFonts w:asciiTheme="minorEastAsia" w:hAnsiTheme="minorEastAsia" w:eastAsiaTheme="minorEastAsia"/>
          <w:spacing w:val="10"/>
        </w:rPr>
        <w:t>大</w:t>
      </w:r>
      <w:r>
        <w:rPr>
          <w:rFonts w:asciiTheme="minorEastAsia" w:hAnsiTheme="minorEastAsia" w:eastAsiaTheme="minorEastAsia"/>
          <w:spacing w:val="10"/>
          <w:position w:val="-2"/>
        </w:rPr>
        <w:drawing>
          <wp:inline distT="0" distB="0" distL="0" distR="0">
            <wp:extent cx="139065" cy="139065"/>
            <wp:effectExtent l="0" t="0" r="0" b="0"/>
            <wp:docPr id="67" name="Image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pacing w:val="10"/>
        </w:rPr>
        <w:t>参</w:t>
      </w:r>
      <w:r>
        <w:rPr>
          <w:rFonts w:asciiTheme="minorEastAsia" w:hAnsiTheme="minorEastAsia" w:eastAsiaTheme="minorEastAsia"/>
          <w:spacing w:val="10"/>
          <w:position w:val="-2"/>
        </w:rPr>
        <w:drawing>
          <wp:inline distT="0" distB="0" distL="0" distR="0">
            <wp:extent cx="139065" cy="139065"/>
            <wp:effectExtent l="0" t="0" r="0" b="0"/>
            <wp:docPr id="68" name="Image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信息汇总表</w:t>
      </w:r>
    </w:p>
    <w:p w14:paraId="648297B2">
      <w:pPr>
        <w:pStyle w:val="5"/>
        <w:tabs>
          <w:tab w:val="left" w:pos="9240"/>
        </w:tabs>
        <w:spacing w:line="360" w:lineRule="auto"/>
        <w:ind w:left="75" w:leftChars="34" w:right="288" w:rightChars="131" w:firstLine="816" w:firstLineChars="340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附件不随文下发，请至</w:t>
      </w:r>
      <w:r>
        <w:rPr>
          <w:rFonts w:asciiTheme="minorEastAsia" w:hAnsiTheme="minorEastAsia" w:eastAsiaTheme="minorEastAsia"/>
          <w:spacing w:val="10"/>
        </w:rPr>
        <w:t>比</w:t>
      </w:r>
      <w:r>
        <w:rPr>
          <w:rFonts w:asciiTheme="minorEastAsia" w:hAnsiTheme="minorEastAsia" w:eastAsiaTheme="minorEastAsia"/>
          <w:spacing w:val="10"/>
          <w:position w:val="-1"/>
        </w:rPr>
        <w:drawing>
          <wp:inline distT="0" distB="0" distL="0" distR="0">
            <wp:extent cx="139065" cy="139065"/>
            <wp:effectExtent l="0" t="0" r="0" b="0"/>
            <wp:docPr id="69" name="Image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 69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99" cy="13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网站下载</w:t>
      </w:r>
      <w:r>
        <w:rPr>
          <w:rFonts w:asciiTheme="minorEastAsia" w:hAnsiTheme="minorEastAsia" w:eastAsiaTheme="minorEastAsia"/>
          <w:spacing w:val="59"/>
        </w:rPr>
        <w:t xml:space="preserve">   </w:t>
      </w:r>
      <w:r>
        <w:fldChar w:fldCharType="begin"/>
      </w:r>
      <w:r>
        <w:instrText xml:space="preserve"> HYPERLINK "https://medinno.techmansoft.com/" \h </w:instrText>
      </w:r>
      <w:r>
        <w:fldChar w:fldCharType="separate"/>
      </w:r>
      <w:r>
        <w:rPr>
          <w:rFonts w:asciiTheme="minorEastAsia" w:hAnsiTheme="minorEastAsia" w:eastAsiaTheme="minorEastAsia"/>
          <w:spacing w:val="-2"/>
          <w:u w:val="single"/>
        </w:rPr>
        <w:t>https://medinno.techmansoft.com/</w:t>
      </w:r>
      <w:r>
        <w:rPr>
          <w:rFonts w:asciiTheme="minorEastAsia" w:hAnsiTheme="minorEastAsia" w:eastAsiaTheme="minorEastAsia"/>
          <w:spacing w:val="-2"/>
          <w:u w:val="single"/>
        </w:rPr>
        <w:fldChar w:fldCharType="end"/>
      </w:r>
    </w:p>
    <w:p w14:paraId="01027DE8">
      <w:pPr>
        <w:pStyle w:val="5"/>
        <w:ind w:left="0"/>
        <w:rPr>
          <w:rFonts w:hint="eastAsia" w:asciiTheme="minorEastAsia" w:hAnsiTheme="minorEastAsia" w:eastAsiaTheme="minorEastAsia"/>
        </w:rPr>
      </w:pPr>
    </w:p>
    <w:p w14:paraId="57A4D285">
      <w:pPr>
        <w:pStyle w:val="5"/>
        <w:ind w:left="0"/>
        <w:rPr>
          <w:rFonts w:hint="eastAsia" w:asciiTheme="minorEastAsia" w:hAnsiTheme="minorEastAsia" w:eastAsiaTheme="minorEastAsia"/>
        </w:rPr>
      </w:pPr>
    </w:p>
    <w:p w14:paraId="692D1CB8">
      <w:pPr>
        <w:pStyle w:val="5"/>
        <w:spacing w:before="194"/>
        <w:ind w:left="0"/>
        <w:rPr>
          <w:rFonts w:hint="eastAsia" w:asciiTheme="minorEastAsia" w:hAnsiTheme="minorEastAsia" w:eastAsiaTheme="minorEastAsia"/>
        </w:rPr>
      </w:pPr>
    </w:p>
    <w:p w14:paraId="42F77514">
      <w:pPr>
        <w:pStyle w:val="5"/>
        <w:spacing w:before="166"/>
        <w:ind w:firstLine="6480" w:firstLineChars="2700"/>
        <w:rPr>
          <w:rFonts w:hint="eastAsia" w:asciiTheme="minorEastAsia" w:hAnsiTheme="minorEastAsia" w:eastAsiaTheme="minorEastAsia"/>
          <w:lang w:val="en-US" w:eastAsia="zh-CN"/>
        </w:rPr>
      </w:pPr>
      <w:bookmarkStart w:id="0" w:name="_GoBack"/>
      <w:bookmarkEnd w:id="0"/>
    </w:p>
    <w:sectPr>
      <w:pgSz w:w="11910" w:h="16840"/>
      <w:pgMar w:top="1460" w:right="1060" w:bottom="280" w:left="13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awati SC">
    <w:altName w:val="微软雅黑"/>
    <w:panose1 w:val="00000000000000000000"/>
    <w:charset w:val="86"/>
    <w:family w:val="decorative"/>
    <w:pitch w:val="default"/>
    <w:sig w:usb0="00000000" w:usb1="00000000" w:usb2="00000016" w:usb3="00000000" w:csb0="0004000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ZLTTHK--GBK1-0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TKaitiSC-Black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64F65D"/>
    <w:multiLevelType w:val="multilevel"/>
    <w:tmpl w:val="AD64F65D"/>
    <w:lvl w:ilvl="0" w:tentative="0">
      <w:start w:val="1"/>
      <w:numFmt w:val="decimal"/>
      <w:suff w:val="nothing"/>
      <w:lvlText w:val="（%1）"/>
      <w:lvlJc w:val="left"/>
      <w:pPr>
        <w:ind w:left="480" w:hanging="601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84" w:hanging="6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89" w:hanging="6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3" w:hanging="6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98" w:hanging="6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03" w:hanging="6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07" w:hanging="6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12" w:hanging="6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16" w:hanging="601"/>
      </w:pPr>
      <w:rPr>
        <w:rFonts w:hint="default"/>
        <w:lang w:val="en-US" w:eastAsia="zh-CN" w:bidi="ar-SA"/>
      </w:rPr>
    </w:lvl>
  </w:abstractNum>
  <w:abstractNum w:abstractNumId="1">
    <w:nsid w:val="DF6BE027"/>
    <w:multiLevelType w:val="multilevel"/>
    <w:tmpl w:val="DF6BE027"/>
    <w:lvl w:ilvl="0" w:tentative="0">
      <w:start w:val="1"/>
      <w:numFmt w:val="decimal"/>
      <w:suff w:val="nothing"/>
      <w:lvlText w:val="%1."/>
      <w:lvlJc w:val="left"/>
      <w:pPr>
        <w:ind w:left="1201" w:hanging="241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032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65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97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30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6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195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28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60" w:hanging="241"/>
      </w:pPr>
      <w:rPr>
        <w:rFonts w:hint="default"/>
        <w:lang w:val="en-US" w:eastAsia="zh-CN" w:bidi="ar-SA"/>
      </w:rPr>
    </w:lvl>
  </w:abstractNum>
  <w:abstractNum w:abstractNumId="2">
    <w:nsid w:val="E58EF509"/>
    <w:multiLevelType w:val="multilevel"/>
    <w:tmpl w:val="E58EF509"/>
    <w:lvl w:ilvl="0" w:tentative="0">
      <w:start w:val="1"/>
      <w:numFmt w:val="decimal"/>
      <w:suff w:val="nothing"/>
      <w:lvlText w:val="%1."/>
      <w:lvlJc w:val="left"/>
      <w:pPr>
        <w:ind w:left="480" w:hanging="241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84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89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3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98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0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07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12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16" w:hanging="241"/>
      </w:pPr>
      <w:rPr>
        <w:rFonts w:hint="default"/>
        <w:lang w:val="en-US" w:eastAsia="zh-CN" w:bidi="ar-SA"/>
      </w:rPr>
    </w:lvl>
  </w:abstractNum>
  <w:abstractNum w:abstractNumId="3">
    <w:nsid w:val="F6C2402F"/>
    <w:multiLevelType w:val="multilevel"/>
    <w:tmpl w:val="F6C2402F"/>
    <w:lvl w:ilvl="0" w:tentative="0">
      <w:start w:val="1"/>
      <w:numFmt w:val="decimal"/>
      <w:suff w:val="nothing"/>
      <w:lvlText w:val="%1."/>
      <w:lvlJc w:val="left"/>
      <w:pPr>
        <w:ind w:left="1210" w:hanging="250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032" w:hanging="25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65" w:hanging="25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97" w:hanging="25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30" w:hanging="25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63" w:hanging="25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195" w:hanging="25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28" w:hanging="25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60" w:hanging="250"/>
      </w:pPr>
      <w:rPr>
        <w:rFonts w:hint="default"/>
        <w:lang w:val="en-US" w:eastAsia="zh-CN" w:bidi="ar-SA"/>
      </w:rPr>
    </w:lvl>
  </w:abstractNum>
  <w:abstractNum w:abstractNumId="4">
    <w:nsid w:val="FD9100AA"/>
    <w:multiLevelType w:val="multilevel"/>
    <w:tmpl w:val="FD9100AA"/>
    <w:lvl w:ilvl="0" w:tentative="0">
      <w:start w:val="1"/>
      <w:numFmt w:val="decimal"/>
      <w:suff w:val="nothing"/>
      <w:lvlText w:val="%1."/>
      <w:lvlJc w:val="left"/>
      <w:pPr>
        <w:ind w:left="480" w:hanging="241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84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89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3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98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0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07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12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16" w:hanging="241"/>
      </w:pPr>
      <w:rPr>
        <w:rFonts w:hint="default"/>
        <w:lang w:val="en-US" w:eastAsia="zh-CN" w:bidi="ar-SA"/>
      </w:rPr>
    </w:lvl>
  </w:abstractNum>
  <w:abstractNum w:abstractNumId="5">
    <w:nsid w:val="04CF27C3"/>
    <w:multiLevelType w:val="multilevel"/>
    <w:tmpl w:val="04CF27C3"/>
    <w:lvl w:ilvl="0" w:tentative="0">
      <w:start w:val="1"/>
      <w:numFmt w:val="decimal"/>
      <w:lvlText w:val="%1."/>
      <w:lvlJc w:val="left"/>
      <w:pPr>
        <w:ind w:left="1201" w:hanging="241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032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65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97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30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36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195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28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60" w:hanging="241"/>
      </w:pPr>
      <w:rPr>
        <w:rFonts w:hint="default"/>
        <w:lang w:val="en-US" w:eastAsia="zh-CN" w:bidi="ar-SA"/>
      </w:rPr>
    </w:lvl>
  </w:abstractNum>
  <w:abstractNum w:abstractNumId="6">
    <w:nsid w:val="15F102F1"/>
    <w:multiLevelType w:val="multilevel"/>
    <w:tmpl w:val="15F102F1"/>
    <w:lvl w:ilvl="0" w:tentative="0">
      <w:start w:val="1"/>
      <w:numFmt w:val="decimal"/>
      <w:lvlText w:val="%1."/>
      <w:lvlJc w:val="left"/>
      <w:pPr>
        <w:ind w:left="480" w:hanging="241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84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89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3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98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0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07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12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16" w:hanging="241"/>
      </w:pPr>
      <w:rPr>
        <w:rFonts w:hint="default"/>
        <w:lang w:val="en-US" w:eastAsia="zh-CN" w:bidi="ar-SA"/>
      </w:rPr>
    </w:lvl>
  </w:abstractNum>
  <w:abstractNum w:abstractNumId="7">
    <w:nsid w:val="22D63926"/>
    <w:multiLevelType w:val="multilevel"/>
    <w:tmpl w:val="22D63926"/>
    <w:lvl w:ilvl="0" w:tentative="0">
      <w:start w:val="1"/>
      <w:numFmt w:val="decimal"/>
      <w:suff w:val="nothing"/>
      <w:lvlText w:val="%1."/>
      <w:lvlJc w:val="left"/>
      <w:pPr>
        <w:ind w:left="480" w:hanging="241"/>
      </w:pPr>
      <w:rPr>
        <w:rFonts w:hint="default" w:ascii="宋体" w:hAnsi="宋体" w:eastAsia="宋体" w:cs="宋体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84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89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3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98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03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07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12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16" w:hanging="241"/>
      </w:pPr>
      <w:rPr>
        <w:rFonts w:hint="default"/>
        <w:lang w:val="en-US" w:eastAsia="zh-CN" w:bidi="ar-SA"/>
      </w:rPr>
    </w:lvl>
  </w:abstractNum>
  <w:abstractNum w:abstractNumId="8">
    <w:nsid w:val="7EF30E09"/>
    <w:multiLevelType w:val="multilevel"/>
    <w:tmpl w:val="7EF30E09"/>
    <w:lvl w:ilvl="0" w:tentative="0">
      <w:start w:val="1"/>
      <w:numFmt w:val="decimal"/>
      <w:lvlText w:val="（%1）"/>
      <w:lvlJc w:val="left"/>
      <w:pPr>
        <w:ind w:left="480" w:hanging="601"/>
      </w:pPr>
      <w:rPr>
        <w:rFonts w:hint="default" w:ascii="Wawati SC" w:hAnsi="Wawati SC" w:eastAsia="Wawati SC" w:cs="Wawati SC"/>
        <w:b w:val="0"/>
        <w:bCs w:val="0"/>
        <w:i w:val="0"/>
        <w:iCs w:val="0"/>
        <w:spacing w:val="0"/>
        <w:w w:val="7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384" w:hanging="6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289" w:hanging="6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93" w:hanging="6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98" w:hanging="6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03" w:hanging="6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07" w:hanging="6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812" w:hanging="6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716" w:hanging="601"/>
      </w:pPr>
      <w:rPr>
        <w:rFonts w:hint="default"/>
        <w:lang w:val="en-US" w:eastAsia="zh-CN" w:bidi="ar-SA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F48"/>
    <w:rsid w:val="000B236F"/>
    <w:rsid w:val="000E51AA"/>
    <w:rsid w:val="002F6F05"/>
    <w:rsid w:val="00495C7F"/>
    <w:rsid w:val="005110F5"/>
    <w:rsid w:val="00881F48"/>
    <w:rsid w:val="00F92264"/>
    <w:rsid w:val="2E44349D"/>
    <w:rsid w:val="4D3B79E0"/>
    <w:rsid w:val="66F1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Wawati SC" w:hAnsi="Wawati SC" w:eastAsia="Wawati SC" w:cs="Wawati SC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right="260"/>
      <w:outlineLvl w:val="0"/>
    </w:pPr>
    <w:rPr>
      <w:rFonts w:ascii="FZLTTHK--GBK1-0" w:hAnsi="FZLTTHK--GBK1-0" w:eastAsia="FZLTTHK--GBK1-0" w:cs="FZLTTHK--GBK1-0"/>
      <w:b/>
      <w:bCs/>
      <w:sz w:val="32"/>
      <w:szCs w:val="32"/>
    </w:rPr>
  </w:style>
  <w:style w:type="paragraph" w:styleId="3">
    <w:name w:val="heading 2"/>
    <w:basedOn w:val="1"/>
    <w:unhideWhenUsed/>
    <w:qFormat/>
    <w:uiPriority w:val="9"/>
    <w:pPr>
      <w:ind w:left="436"/>
      <w:outlineLvl w:val="1"/>
    </w:pPr>
    <w:rPr>
      <w:rFonts w:ascii="STKaitiSC-Black" w:hAnsi="STKaitiSC-Black" w:eastAsia="STKaitiSC-Black" w:cs="STKaitiSC-Black"/>
      <w:b/>
      <w:bCs/>
      <w:sz w:val="28"/>
      <w:szCs w:val="28"/>
    </w:rPr>
  </w:style>
  <w:style w:type="paragraph" w:styleId="4">
    <w:name w:val="heading 3"/>
    <w:basedOn w:val="1"/>
    <w:unhideWhenUsed/>
    <w:qFormat/>
    <w:uiPriority w:val="9"/>
    <w:pPr>
      <w:ind w:left="916"/>
      <w:outlineLvl w:val="2"/>
    </w:pPr>
    <w:rPr>
      <w:rFonts w:ascii="STKaitiSC-Black" w:hAnsi="STKaitiSC-Black" w:eastAsia="STKaitiSC-Black" w:cs="STKaitiSC-Black"/>
      <w:b/>
      <w:bCs/>
      <w:sz w:val="24"/>
      <w:szCs w:val="2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436"/>
    </w:pPr>
    <w:rPr>
      <w:sz w:val="24"/>
      <w:szCs w:val="24"/>
    </w:rPr>
  </w:style>
  <w:style w:type="paragraph" w:styleId="6">
    <w:name w:val="Title"/>
    <w:basedOn w:val="1"/>
    <w:qFormat/>
    <w:uiPriority w:val="10"/>
    <w:pPr>
      <w:ind w:left="337"/>
      <w:jc w:val="center"/>
    </w:pPr>
    <w:rPr>
      <w:rFonts w:ascii="STKaitiSC-Black" w:hAnsi="STKaitiSC-Black" w:eastAsia="STKaitiSC-Black" w:cs="STKaitiSC-Black"/>
      <w:b/>
      <w:bCs/>
      <w:sz w:val="72"/>
      <w:szCs w:val="72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480" w:firstLine="480"/>
    </w:pPr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F5C4B-69A2-49E8-A63E-7EBA43FDA9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2275</Words>
  <Characters>2452</Characters>
  <Lines>82</Lines>
  <Paragraphs>23</Paragraphs>
  <TotalTime>21</TotalTime>
  <ScaleCrop>false</ScaleCrop>
  <LinksUpToDate>false</LinksUpToDate>
  <CharactersWithSpaces>2520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2025-03-05T00:37:00Z</dcterms:created>
  <dc:creator>X</dc:creator>
  <cp:lastModifiedBy>lenovo</cp:lastModifiedBy>
  <dcterms:modified xsi:type="dcterms:W3CDTF">2025-03-05T01:51:27Z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2025-03-05T00:00:00Z</vt:filetime>
  </property>
  <property fmtid="{D5CDD505-2E9C-101B-9397-08002B2CF9AE}" pid="5" name="SourceModified">
    <vt:lpwstr>D:20250304083142+00'31'</vt:lpwstr>
  </property>
  <property fmtid="{D5CDD505-2E9C-101B-9397-08002B2CF9AE}" pid="6" name="KSOTemplateDocerSaveRecord">
    <vt:lpwstr>eyJoZGlkIjoiMDBhYmI3YzI4NTYyZTI2ZWU5ODQ5Nzg1ZGZhNGM0NTgifQ==</vt:lpwstr>
  </property>
  <property fmtid="{D5CDD505-2E9C-101B-9397-08002B2CF9AE}" pid="7" name="KSOProductBuildVer">
    <vt:lpwstr>2052-12.1.0.20305</vt:lpwstr>
  </property>
  <property fmtid="{D5CDD505-2E9C-101B-9397-08002B2CF9AE}" pid="8" name="ICV">
    <vt:lpwstr>F7C5D674379F48B9895F5880D01C4DDC_13</vt:lpwstr>
  </property>
</Properties>
</file>